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  <w:highlight w:val="none"/>
          <w:lang w:eastAsia="zh-CN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highlight w:val="none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5348605" cy="7660640"/>
            <wp:effectExtent l="0" t="0" r="635" b="5080"/>
            <wp:docPr id="9" name="图片 9" descr="人社部函〔2022〕39号 关于开展2022年全国民营企业招聘月活动的通知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人社部函〔2022〕39号 关于开展2022年全国民营企业招聘月活动的通知_页面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766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5396865" cy="8018780"/>
            <wp:effectExtent l="0" t="0" r="13335" b="12700"/>
            <wp:docPr id="8" name="图片 8" descr="人社部函〔2022〕39号 关于开展2022年全国民营企业招聘月活动的通知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人社部函〔2022〕39号 关于开展2022年全国民营企业招聘月活动的通知_页面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801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5396230" cy="8055610"/>
            <wp:effectExtent l="0" t="0" r="13970" b="6350"/>
            <wp:docPr id="7" name="图片 7" descr="人社部函〔2022〕39号 关于开展2022年全国民营企业招聘月活动的通知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人社部函〔2022〕39号 关于开展2022年全国民营企业招聘月活动的通知_页面_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805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5399405" cy="8023225"/>
            <wp:effectExtent l="0" t="0" r="10795" b="8255"/>
            <wp:docPr id="6" name="图片 6" descr="人社部函〔2022〕39号 关于开展2022年全国民营企业招聘月活动的通知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人社部函〔2022〕39号 关于开展2022年全国民营企业招聘月活动的通知_页面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802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5396865" cy="8018780"/>
            <wp:effectExtent l="0" t="0" r="13335" b="12700"/>
            <wp:docPr id="5" name="图片 5" descr="人社部函〔2022〕39号 关于开展2022年全国民营企业招聘月活动的通知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人社部函〔2022〕39号 关于开展2022年全国民营企业招聘月活动的通知_页面_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801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5381625" cy="8171815"/>
            <wp:effectExtent l="0" t="0" r="13335" b="12065"/>
            <wp:docPr id="4" name="图片 4" descr="人社部函〔2022〕39号 关于开展2022年全国民营企业招聘月活动的通知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人社部函〔2022〕39号 关于开展2022年全国民营企业招聘月活动的通知_页面_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4888865" cy="8166100"/>
            <wp:effectExtent l="0" t="0" r="3175" b="2540"/>
            <wp:docPr id="3" name="图片 3" descr="人社部函〔2022〕39号 关于开展2022年全国民营企业招聘月活动的通知_页面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人社部函〔2022〕39号 关于开展2022年全国民营企业招聘月活动的通知_页面_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886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5226685" cy="7877810"/>
            <wp:effectExtent l="0" t="0" r="635" b="1270"/>
            <wp:docPr id="2" name="图片 2" descr="人社部函〔2022〕39号 关于开展2022年全国民营企业招聘月活动的通知_页面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人社部函〔2022〕39号 关于开展2022年全国民营企业招聘月活动的通知_页面_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5394325" cy="7811135"/>
            <wp:effectExtent l="0" t="0" r="635" b="6985"/>
            <wp:docPr id="1" name="图片 1" descr="人社部函〔2022〕39号 关于开展2022年全国民营企业招聘月活动的通知_页面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人社部函〔2022〕39号 关于开展2022年全国民营企业招聘月活动的通知_页面_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78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highlight w:val="none"/>
          <w:lang w:eastAsia="zh-CN"/>
        </w:rPr>
        <w:t>附件</w:t>
      </w:r>
      <w:r>
        <w:rPr>
          <w:rFonts w:hint="default" w:ascii="Times New Roman" w:hAnsi="Times New Roman" w:eastAsia="黑体" w:cs="Times New Roman"/>
          <w:sz w:val="32"/>
          <w:szCs w:val="32"/>
          <w:highlight w:val="none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  <w:highlight w:val="none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  <w:highlight w:val="none"/>
          <w:lang w:eastAsia="zh-CN"/>
        </w:rPr>
        <w:t>“</w:t>
      </w:r>
      <w:r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  <w:highlight w:val="none"/>
        </w:rPr>
        <w:t>才聚荆楚·职在民企</w:t>
      </w:r>
      <w:r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  <w:highlight w:val="none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  <w:highlight w:val="none"/>
        </w:rPr>
        <w:t>2022年湖北省</w:t>
      </w:r>
      <w:r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  <w:highlight w:val="none"/>
          <w:lang w:eastAsia="zh-CN"/>
        </w:rPr>
        <w:t>民营企业招聘月线上</w:t>
      </w:r>
      <w:r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  <w:highlight w:val="none"/>
        </w:rPr>
        <w:t>活动方案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为扎实推进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“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才聚荆楚·职在民企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”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2022年民营企业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招聘月活动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，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持续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服务企业招聘用工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帮助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高校毕业生等重点群体就业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，特制定2022年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湖北省民营企业招聘月线上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活动方案。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highlight w:val="none"/>
        </w:rPr>
        <w:t>一、活动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highlight w:val="none"/>
          <w:lang w:eastAsia="zh-CN"/>
        </w:rPr>
        <w:t>主题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才聚荆楚·职在民企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黑体" w:hAnsi="黑体" w:eastAsia="黑体" w:cs="黑体"/>
          <w:color w:val="000000"/>
          <w:kern w:val="0"/>
          <w:sz w:val="32"/>
          <w:szCs w:val="32"/>
          <w:highlight w:val="none"/>
        </w:rPr>
      </w:pPr>
      <w:r>
        <w:rPr>
          <w:rFonts w:hint="default" w:ascii="黑体" w:hAnsi="黑体" w:eastAsia="黑体" w:cs="黑体"/>
          <w:color w:val="000000"/>
          <w:kern w:val="0"/>
          <w:sz w:val="32"/>
          <w:szCs w:val="32"/>
          <w:highlight w:val="none"/>
        </w:rPr>
        <w:t>二、活动目的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pacing w:val="-4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以湖北公共招聘网为全省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民营企业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招聘月活动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统一线上服务平台，集中开展网络招聘会、直播招聘会等系列特色专场招聘活动，提供职业指导、政策讲解、岗位推介、培训报名等全方位服务，为劳动</w:t>
      </w:r>
      <w:r>
        <w:rPr>
          <w:rFonts w:hint="default" w:ascii="Times New Roman" w:hAnsi="Times New Roman" w:eastAsia="仿宋_GB2312" w:cs="Times New Roman"/>
          <w:spacing w:val="-4"/>
          <w:sz w:val="32"/>
          <w:szCs w:val="32"/>
          <w:highlight w:val="none"/>
        </w:rPr>
        <w:t>者和用人单位提供便捷高效的对接渠道，以更实举措稳就业、惠民生。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黑体" w:hAnsi="黑体" w:eastAsia="黑体" w:cs="黑体"/>
          <w:color w:val="000000"/>
          <w:kern w:val="0"/>
          <w:sz w:val="32"/>
          <w:szCs w:val="32"/>
          <w:highlight w:val="none"/>
        </w:rPr>
      </w:pPr>
      <w:r>
        <w:rPr>
          <w:rFonts w:hint="default" w:ascii="黑体" w:hAnsi="黑体" w:eastAsia="黑体" w:cs="黑体"/>
          <w:color w:val="000000"/>
          <w:kern w:val="0"/>
          <w:sz w:val="32"/>
          <w:szCs w:val="32"/>
          <w:highlight w:val="none"/>
        </w:rPr>
        <w:t>三、活动内容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在全省范围内开展网络招聘、直播招聘、视频招聘、培训班期发布、政策答疑、重点人群精准服务等网络专项活动。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黑体" w:hAnsi="黑体" w:eastAsia="黑体" w:cs="黑体"/>
          <w:color w:val="000000"/>
          <w:kern w:val="0"/>
          <w:sz w:val="32"/>
          <w:szCs w:val="32"/>
          <w:highlight w:val="none"/>
        </w:rPr>
      </w:pPr>
      <w:r>
        <w:rPr>
          <w:rFonts w:hint="default" w:ascii="黑体" w:hAnsi="黑体" w:eastAsia="黑体" w:cs="黑体"/>
          <w:color w:val="000000"/>
          <w:kern w:val="0"/>
          <w:sz w:val="32"/>
          <w:szCs w:val="32"/>
          <w:highlight w:val="none"/>
        </w:rPr>
        <w:t>四、活动时间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2022年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月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27日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至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月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27日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黑体" w:hAnsi="黑体" w:eastAsia="黑体" w:cs="黑体"/>
          <w:color w:val="000000"/>
          <w:kern w:val="0"/>
          <w:sz w:val="32"/>
          <w:szCs w:val="32"/>
          <w:highlight w:val="none"/>
        </w:rPr>
      </w:pPr>
      <w:r>
        <w:rPr>
          <w:rFonts w:hint="default" w:ascii="黑体" w:hAnsi="黑体" w:eastAsia="黑体" w:cs="黑体"/>
          <w:color w:val="000000"/>
          <w:kern w:val="0"/>
          <w:sz w:val="32"/>
          <w:szCs w:val="32"/>
          <w:highlight w:val="none"/>
        </w:rPr>
        <w:t>五、服务对象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（一）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以民营企业、中小微企业为重点，同时面向各类用人单位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pacing w:val="-4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（二）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以高校毕业生、退役军人、脱贫劳动力、登记失业人员、农民工、残疾人为重点，同时面向各类求职人员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黑体" w:hAnsi="黑体" w:eastAsia="黑体" w:cs="黑体"/>
          <w:color w:val="000000"/>
          <w:kern w:val="0"/>
          <w:sz w:val="32"/>
          <w:szCs w:val="32"/>
          <w:highlight w:val="none"/>
        </w:rPr>
      </w:pPr>
      <w:r>
        <w:rPr>
          <w:rFonts w:hint="default" w:ascii="黑体" w:hAnsi="黑体" w:eastAsia="黑体" w:cs="黑体"/>
          <w:color w:val="000000"/>
          <w:kern w:val="0"/>
          <w:sz w:val="32"/>
          <w:szCs w:val="32"/>
          <w:highlight w:val="none"/>
        </w:rPr>
        <w:t>六、具体任务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bCs/>
          <w:sz w:val="32"/>
          <w:szCs w:val="32"/>
          <w:highlight w:val="none"/>
        </w:rPr>
        <w:t>（一）开设全省统一入口。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在湖北公共招聘网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及微信公众号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搭建2022年湖北省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民营企业招聘月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活动专区，并设网络招聘、直播招聘、培训报名、政策咨询等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服务菜单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楷体_GB2312" w:hAnsi="楷体_GB2312" w:eastAsia="楷体_GB2312" w:cs="楷体_GB2312"/>
          <w:bCs/>
          <w:sz w:val="32"/>
          <w:szCs w:val="32"/>
          <w:highlight w:val="none"/>
          <w:lang w:eastAsia="zh-CN"/>
        </w:rPr>
        <w:t>（二）</w:t>
      </w:r>
      <w:r>
        <w:rPr>
          <w:rFonts w:hint="default" w:ascii="楷体_GB2312" w:hAnsi="楷体_GB2312" w:eastAsia="楷体_GB2312" w:cs="楷体_GB2312"/>
          <w:bCs/>
          <w:sz w:val="32"/>
          <w:szCs w:val="32"/>
          <w:highlight w:val="none"/>
        </w:rPr>
        <w:t>组织开展网络招聘会。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各地通过多种渠道收集审核各类企业的岗位信息，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对岗位信息进行分类整理，灵活组织分行业、分人群专场网络招聘会，各县级以上公共就业服务机构每周要组织一场专场网络招聘活动，并将招聘会信息发布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在湖北公共招聘网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民营企业招聘月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活动专区，并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动态更新岗位信息，做到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周周有招聘、日日有服务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。县区以上公共就业服务机构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应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至少提前3天将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民营企业招聘月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招聘会及岗位信息发布至湖北公共招聘网。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楷体_GB2312" w:hAnsi="楷体_GB2312" w:eastAsia="楷体_GB2312" w:cs="楷体_GB2312"/>
          <w:bCs/>
          <w:sz w:val="32"/>
          <w:szCs w:val="32"/>
          <w:highlight w:val="none"/>
        </w:rPr>
        <w:t>（三）组织开展直播招聘会。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各地要积极运用湖北公共招聘网、本地媒体、自媒体等平台，针对性地开展行业、中小微企业、紧缺工种专场及求职群体、求职专业专场直播招聘活动。活动期间，各市州需至少组织开展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场直播招聘活动，并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提前3天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将直播信息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在湖北公共招聘网直播频道发布，按相关要求录入直播企业、工作岗位等信息。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直播结束后，需及时回访企业，并按要求报送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求职登记人数、招聘成功人数等数据。湖北公共招聘网直播管理操作说明在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湖北公共招聘网QQ群（群号：325598951）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内下载查看。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楷体_GB2312" w:hAnsi="楷体_GB2312" w:eastAsia="楷体_GB2312" w:cs="楷体_GB2312"/>
          <w:bCs/>
          <w:sz w:val="32"/>
          <w:szCs w:val="32"/>
          <w:highlight w:val="none"/>
        </w:rPr>
        <w:t>（四）发布培训报名信息。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各地要建立完善培训清单网上发布制度，做到全省就业创业培训班期统一通过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湖北公共招聘网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提前发布，公开培训专业、培训时间、培训地点等信息，供劳动者自主选择、网上报名。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楷体_GB2312" w:hAnsi="楷体_GB2312" w:eastAsia="楷体_GB2312" w:cs="楷体_GB2312"/>
          <w:bCs/>
          <w:sz w:val="32"/>
          <w:szCs w:val="32"/>
          <w:highlight w:val="none"/>
        </w:rPr>
        <w:t>（五）提供政策咨询服务。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通过智慧就业精准服务系统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为用人单位和求职者提供注册登记、岗位发布、职业介绍、职业指导和就业政策等咨询服务，充分满足企业用工和劳动者求职需求。各地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要广泛宣传湖北公共招聘网对外统一服务热线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02752101000，并做好接听电话和咨询解答工作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楷体_GB2312" w:hAnsi="楷体_GB2312" w:eastAsia="楷体_GB2312" w:cs="楷体_GB2312"/>
          <w:bCs/>
          <w:sz w:val="32"/>
          <w:szCs w:val="32"/>
          <w:highlight w:val="none"/>
        </w:rPr>
        <w:t>（六）重点人群精准服务。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充分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运用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智慧就业精准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服务系统，对高校毕业生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、脱贫劳动力、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登记失业人员等重点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群体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进行语音外呼调查工作，摸清重点人群的就失业状态，采集重点人群的就业意愿，通过微信、短信向重点人群推送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民营企业招聘月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网络招聘会场次信息、直播预告信息以及政策服务清单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落实好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1133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主动就业服务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</w:pPr>
      <w:r>
        <w:rPr>
          <w:rFonts w:hint="default" w:ascii="楷体_GB2312" w:hAnsi="楷体_GB2312" w:eastAsia="楷体_GB2312" w:cs="楷体_GB2312"/>
          <w:bCs/>
          <w:sz w:val="32"/>
          <w:szCs w:val="32"/>
          <w:highlight w:val="none"/>
        </w:rPr>
        <w:t>（</w:t>
      </w:r>
      <w:r>
        <w:rPr>
          <w:rFonts w:hint="default" w:ascii="楷体_GB2312" w:hAnsi="楷体_GB2312" w:eastAsia="楷体_GB2312" w:cs="楷体_GB2312"/>
          <w:bCs/>
          <w:sz w:val="32"/>
          <w:szCs w:val="32"/>
          <w:highlight w:val="none"/>
          <w:lang w:eastAsia="zh-CN"/>
        </w:rPr>
        <w:t>七</w:t>
      </w:r>
      <w:r>
        <w:rPr>
          <w:rFonts w:hint="default" w:ascii="楷体_GB2312" w:hAnsi="楷体_GB2312" w:eastAsia="楷体_GB2312" w:cs="楷体_GB2312"/>
          <w:bCs/>
          <w:sz w:val="32"/>
          <w:szCs w:val="32"/>
          <w:highlight w:val="none"/>
        </w:rPr>
        <w:t>）制定应急预案。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各地要提前谋划、充分预判、制定应急预案，以应对各项突发情况，如对网络舆情进行监测把控，就网络状况提前与工信部门、运营商进行报备，对各地直播企业发布的信息进行提前审定，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准备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备用线路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、电源等设施设备，预防直播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过程中出现卡顿、断线等意外情况。认真组织人员做好风险排查和预警工作，确保各项活动顺利开展。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</w:pPr>
      <w:r>
        <w:rPr>
          <w:rFonts w:hint="default" w:ascii="楷体_GB2312" w:hAnsi="楷体_GB2312" w:eastAsia="楷体_GB2312" w:cs="楷体_GB2312"/>
          <w:bCs/>
          <w:sz w:val="32"/>
          <w:szCs w:val="32"/>
          <w:highlight w:val="none"/>
        </w:rPr>
        <w:t>（</w:t>
      </w:r>
      <w:r>
        <w:rPr>
          <w:rFonts w:hint="default" w:ascii="楷体_GB2312" w:hAnsi="楷体_GB2312" w:eastAsia="楷体_GB2312" w:cs="楷体_GB2312"/>
          <w:bCs/>
          <w:sz w:val="32"/>
          <w:szCs w:val="32"/>
          <w:highlight w:val="none"/>
          <w:lang w:eastAsia="zh-CN"/>
        </w:rPr>
        <w:t>八</w:t>
      </w:r>
      <w:r>
        <w:rPr>
          <w:rFonts w:hint="default" w:ascii="楷体_GB2312" w:hAnsi="楷体_GB2312" w:eastAsia="楷体_GB2312" w:cs="楷体_GB2312"/>
          <w:bCs/>
          <w:sz w:val="32"/>
          <w:szCs w:val="32"/>
          <w:highlight w:val="none"/>
        </w:rPr>
        <w:t>）宣传推广。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活动二维码、海报、展架、操作指南图等宣传资料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将统一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上传至湖北公共招聘网QQ群（群号：325598951），各地自行下载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加工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使用。各地也可结合本地情况自行制作短视频、动画、字幕、图解等宣传资料。各地公共就业服务机构要充分运用本地门户网站、自有媒体、本地新闻、广播、短视频等多种方式对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2022年民营企业招聘月线上活动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展开宣传，将活动主题、招聘专场、直播专场和时间安排向社会广泛发布，并通过各类媒体宣传推广活动中的经验做法和成效。做好活动舆情监测和处置，积极回应企业和求职者需求，开展好网络宣传引导工作。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黑体" w:hAnsi="黑体" w:eastAsia="黑体" w:cs="黑体"/>
          <w:color w:val="000000"/>
          <w:kern w:val="0"/>
          <w:sz w:val="32"/>
          <w:szCs w:val="32"/>
          <w:highlight w:val="none"/>
          <w:lang w:eastAsia="zh-CN"/>
        </w:rPr>
      </w:pPr>
      <w:r>
        <w:rPr>
          <w:rFonts w:hint="default" w:ascii="黑体" w:hAnsi="黑体" w:eastAsia="黑体" w:cs="黑体"/>
          <w:color w:val="000000"/>
          <w:kern w:val="0"/>
          <w:sz w:val="32"/>
          <w:szCs w:val="32"/>
          <w:highlight w:val="none"/>
        </w:rPr>
        <w:t>七、</w:t>
      </w:r>
      <w:r>
        <w:rPr>
          <w:rFonts w:hint="default" w:ascii="黑体" w:hAnsi="黑体" w:eastAsia="黑体" w:cs="黑体"/>
          <w:color w:val="000000"/>
          <w:kern w:val="0"/>
          <w:sz w:val="32"/>
          <w:szCs w:val="32"/>
          <w:highlight w:val="none"/>
          <w:lang w:eastAsia="zh-CN"/>
        </w:rPr>
        <w:t>其他要求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各市州应于2022年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月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日前报送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民营企业招聘月活动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直播招聘计划（附件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），并于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民营企业招聘月活动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结束时报送直播招聘情况统计表（附件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）。要认真做好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民营企业招聘月活动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各项统计、分析和总结工作，并按要求上报。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ind w:left="2558" w:leftChars="304" w:hanging="1920" w:hangingChars="600"/>
        <w:textAlignment w:val="auto"/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附件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：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2－1．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2022年湖北省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民营企业招聘月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直播招聘计划表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ind w:left="2556" w:leftChars="760" w:hanging="960" w:hangingChars="300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2－2．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2022年湖北省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民营企业招聘月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直播招聘情况统计表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sectPr>
          <w:footerReference r:id="rId3" w:type="default"/>
          <w:pgSz w:w="11906" w:h="16838"/>
          <w:pgMar w:top="2154" w:right="1701" w:bottom="1814" w:left="1701" w:header="851" w:footer="1417" w:gutter="0"/>
          <w:pgNumType w:fmt="decimal"/>
          <w:cols w:space="425" w:num="1"/>
          <w:docGrid w:type="lines" w:linePitch="289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textAlignment w:val="auto"/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highlight w:val="none"/>
        </w:rPr>
        <w:t>附件</w:t>
      </w:r>
      <w:r>
        <w:rPr>
          <w:rFonts w:hint="eastAsia" w:ascii="Times New Roman" w:hAnsi="Times New Roman" w:eastAsia="黑体" w:cs="Times New Roman"/>
          <w:color w:val="000000"/>
          <w:kern w:val="0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  <w:t>－</w:t>
      </w:r>
      <w:r>
        <w:rPr>
          <w:rFonts w:hint="eastAsia" w:ascii="Times New Roman" w:hAnsi="Times New Roman" w:eastAsia="黑体" w:cs="Times New Roman"/>
          <w:color w:val="000000"/>
          <w:kern w:val="0"/>
          <w:sz w:val="32"/>
          <w:szCs w:val="32"/>
          <w:highlight w:val="none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after="156" w:line="584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</w:rPr>
        <w:t>2022年湖北省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eastAsia="zh-CN"/>
        </w:rPr>
        <w:t>民营企业招聘月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</w:rPr>
        <w:t>直播招聘计划表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 xml:space="preserve">填报单位：                     填报人：       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联系方式：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 xml:space="preserve">           填报时间：</w:t>
      </w:r>
    </w:p>
    <w:tbl>
      <w:tblPr>
        <w:tblStyle w:val="5"/>
        <w:tblW w:w="1365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7"/>
        <w:gridCol w:w="2015"/>
        <w:gridCol w:w="2356"/>
        <w:gridCol w:w="2164"/>
        <w:gridCol w:w="2220"/>
        <w:gridCol w:w="1533"/>
        <w:gridCol w:w="24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highlight w:val="none"/>
              </w:rPr>
              <w:t>序号</w:t>
            </w:r>
          </w:p>
        </w:tc>
        <w:tc>
          <w:tcPr>
            <w:tcW w:w="20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highlight w:val="none"/>
              </w:rPr>
              <w:t>举办地区</w:t>
            </w:r>
          </w:p>
        </w:tc>
        <w:tc>
          <w:tcPr>
            <w:tcW w:w="23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highlight w:val="none"/>
              </w:rPr>
              <w:t>活动日期</w:t>
            </w:r>
          </w:p>
        </w:tc>
        <w:tc>
          <w:tcPr>
            <w:tcW w:w="21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highlight w:val="none"/>
              </w:rPr>
              <w:t>企业数量</w:t>
            </w:r>
          </w:p>
        </w:tc>
        <w:tc>
          <w:tcPr>
            <w:tcW w:w="22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highlight w:val="none"/>
              </w:rPr>
              <w:t>岗位数量</w:t>
            </w:r>
          </w:p>
        </w:tc>
        <w:tc>
          <w:tcPr>
            <w:tcW w:w="15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highlight w:val="none"/>
              </w:rPr>
              <w:t>联系人</w:t>
            </w:r>
          </w:p>
        </w:tc>
        <w:tc>
          <w:tcPr>
            <w:tcW w:w="249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highlight w:val="none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  <w:t>1</w:t>
            </w:r>
          </w:p>
        </w:tc>
        <w:tc>
          <w:tcPr>
            <w:tcW w:w="20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  <w:t>江岸区</w:t>
            </w:r>
          </w:p>
        </w:tc>
        <w:tc>
          <w:tcPr>
            <w:tcW w:w="23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21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22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15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24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  <w:t>2</w:t>
            </w:r>
          </w:p>
        </w:tc>
        <w:tc>
          <w:tcPr>
            <w:tcW w:w="20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  <w:t>江汉区</w:t>
            </w:r>
          </w:p>
        </w:tc>
        <w:tc>
          <w:tcPr>
            <w:tcW w:w="23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21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22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15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24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  <w:t>3</w:t>
            </w:r>
          </w:p>
        </w:tc>
        <w:tc>
          <w:tcPr>
            <w:tcW w:w="20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  <w:t>硚口区</w:t>
            </w:r>
          </w:p>
        </w:tc>
        <w:tc>
          <w:tcPr>
            <w:tcW w:w="23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21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22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15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24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  <w:t>……</w:t>
            </w:r>
          </w:p>
        </w:tc>
        <w:tc>
          <w:tcPr>
            <w:tcW w:w="20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  <w:t>……</w:t>
            </w:r>
          </w:p>
        </w:tc>
        <w:tc>
          <w:tcPr>
            <w:tcW w:w="23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21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22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15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249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highlight w:val="none"/>
        </w:rPr>
        <w:t>注：1. 此表由各地市级公共就业服务机构汇总市区县场次计划后统一报送；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ind w:firstLine="560" w:firstLineChars="200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highlight w:val="none"/>
        </w:rPr>
        <w:t>2. 此表于</w:t>
      </w: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highlight w:val="none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highlight w:val="none"/>
        </w:rPr>
        <w:t>月</w:t>
      </w: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highlight w:val="none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highlight w:val="none"/>
        </w:rPr>
        <w:t>日前报送至电子邮箱964123227@qq.com。</w:t>
      </w: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highlight w:val="none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textAlignment w:val="auto"/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highlight w:val="none"/>
        </w:rPr>
        <w:t>附件</w:t>
      </w:r>
      <w:r>
        <w:rPr>
          <w:rFonts w:hint="eastAsia" w:ascii="Times New Roman" w:hAnsi="Times New Roman" w:eastAsia="黑体" w:cs="Times New Roman"/>
          <w:color w:val="000000"/>
          <w:kern w:val="0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  <w:t>－</w:t>
      </w:r>
      <w:r>
        <w:rPr>
          <w:rFonts w:hint="eastAsia" w:ascii="Times New Roman" w:hAnsi="Times New Roman" w:eastAsia="黑体" w:cs="Times New Roman"/>
          <w:color w:val="000000"/>
          <w:kern w:val="0"/>
          <w:sz w:val="32"/>
          <w:szCs w:val="32"/>
          <w:highlight w:val="none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after="156" w:line="584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highlight w:val="none"/>
        </w:rPr>
      </w:pPr>
      <w:r>
        <w:rPr>
          <w:rFonts w:hint="default" w:ascii="方正小标宋简体" w:hAnsi="方正小标宋简体" w:eastAsia="方正小标宋简体" w:cs="方正小标宋简体"/>
          <w:sz w:val="44"/>
          <w:szCs w:val="44"/>
          <w:highlight w:val="none"/>
        </w:rPr>
        <w:t>2022年湖北省</w:t>
      </w:r>
      <w:r>
        <w:rPr>
          <w:rFonts w:hint="default" w:ascii="方正小标宋简体" w:hAnsi="方正小标宋简体" w:eastAsia="方正小标宋简体" w:cs="方正小标宋简体"/>
          <w:sz w:val="44"/>
          <w:szCs w:val="44"/>
          <w:highlight w:val="none"/>
          <w:lang w:eastAsia="zh-CN"/>
        </w:rPr>
        <w:t>民营企业招聘月</w:t>
      </w:r>
      <w:r>
        <w:rPr>
          <w:rFonts w:hint="default" w:ascii="方正小标宋简体" w:hAnsi="方正小标宋简体" w:eastAsia="方正小标宋简体" w:cs="方正小标宋简体"/>
          <w:sz w:val="44"/>
          <w:szCs w:val="44"/>
          <w:highlight w:val="none"/>
        </w:rPr>
        <w:t>直播招聘情况统计表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 xml:space="preserve">填报单位：                     填报人：       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联系方式：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 xml:space="preserve">           填报时间：</w:t>
      </w:r>
    </w:p>
    <w:tbl>
      <w:tblPr>
        <w:tblStyle w:val="5"/>
        <w:tblW w:w="1365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1526"/>
        <w:gridCol w:w="1602"/>
        <w:gridCol w:w="1790"/>
        <w:gridCol w:w="1737"/>
        <w:gridCol w:w="1716"/>
        <w:gridCol w:w="2035"/>
        <w:gridCol w:w="23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highlight w:val="none"/>
              </w:rPr>
              <w:t>序号</w:t>
            </w:r>
          </w:p>
        </w:tc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highlight w:val="none"/>
              </w:rPr>
              <w:t>举办地区</w:t>
            </w:r>
          </w:p>
        </w:tc>
        <w:tc>
          <w:tcPr>
            <w:tcW w:w="16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highlight w:val="none"/>
              </w:rPr>
              <w:t>活动时间</w:t>
            </w:r>
          </w:p>
        </w:tc>
        <w:tc>
          <w:tcPr>
            <w:tcW w:w="1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highlight w:val="none"/>
              </w:rPr>
              <w:t>直播企业数</w:t>
            </w:r>
          </w:p>
        </w:tc>
        <w:tc>
          <w:tcPr>
            <w:tcW w:w="17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highlight w:val="none"/>
              </w:rPr>
              <w:t>提供岗位数</w:t>
            </w:r>
          </w:p>
        </w:tc>
        <w:tc>
          <w:tcPr>
            <w:tcW w:w="17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highlight w:val="none"/>
              </w:rPr>
              <w:t>观看人次数</w:t>
            </w:r>
          </w:p>
        </w:tc>
        <w:tc>
          <w:tcPr>
            <w:tcW w:w="20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highlight w:val="none"/>
              </w:rPr>
              <w:t>登记报名人数</w:t>
            </w:r>
          </w:p>
        </w:tc>
        <w:tc>
          <w:tcPr>
            <w:tcW w:w="23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highlight w:val="none"/>
              </w:rPr>
              <w:t>招聘成功人数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  <w:t>1</w:t>
            </w:r>
          </w:p>
        </w:tc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  <w:t>江岸区</w:t>
            </w:r>
          </w:p>
        </w:tc>
        <w:tc>
          <w:tcPr>
            <w:tcW w:w="16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1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17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17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20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23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  <w:t>2</w:t>
            </w:r>
          </w:p>
        </w:tc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  <w:t>江汉区</w:t>
            </w:r>
          </w:p>
        </w:tc>
        <w:tc>
          <w:tcPr>
            <w:tcW w:w="16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1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17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17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20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23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  <w:t>3</w:t>
            </w:r>
          </w:p>
        </w:tc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  <w:t>硚口区</w:t>
            </w:r>
          </w:p>
        </w:tc>
        <w:tc>
          <w:tcPr>
            <w:tcW w:w="16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1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17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17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20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23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  <w:t>……</w:t>
            </w:r>
          </w:p>
        </w:tc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  <w:t>……</w:t>
            </w:r>
          </w:p>
        </w:tc>
        <w:tc>
          <w:tcPr>
            <w:tcW w:w="16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1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17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17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20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23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  <w:t>合计</w:t>
            </w:r>
          </w:p>
        </w:tc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  <w:t>/</w:t>
            </w:r>
          </w:p>
        </w:tc>
        <w:tc>
          <w:tcPr>
            <w:tcW w:w="16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  <w:t>/</w:t>
            </w:r>
          </w:p>
        </w:tc>
        <w:tc>
          <w:tcPr>
            <w:tcW w:w="17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17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17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20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  <w:tc>
          <w:tcPr>
            <w:tcW w:w="23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  <w:highlight w:val="no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highlight w:val="none"/>
        </w:rPr>
        <w:t>注：1. 此表由各</w:t>
      </w: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highlight w:val="none"/>
          <w:lang w:eastAsia="zh-CN"/>
        </w:rPr>
        <w:t>市州</w:t>
      </w: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highlight w:val="none"/>
        </w:rPr>
        <w:t>公共就业服务机构汇总县（市</w:t>
      </w: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highlight w:val="none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highlight w:val="none"/>
        </w:rPr>
        <w:t>区）数据后统一报送；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ind w:firstLine="560" w:firstLineChars="200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highlight w:val="none"/>
        </w:rPr>
        <w:t>2. 此表统计数据指参与直播间</w:t>
      </w:r>
      <w:r>
        <w:rPr>
          <w:rFonts w:hint="eastAsia" w:ascii="Times New Roman" w:hAnsi="Times New Roman" w:eastAsia="仿宋_GB2312" w:cs="Times New Roman"/>
          <w:color w:val="000000"/>
          <w:kern w:val="0"/>
          <w:sz w:val="28"/>
          <w:szCs w:val="28"/>
          <w:highlight w:val="none"/>
          <w:lang w:eastAsia="zh-CN"/>
        </w:rPr>
        <w:t>“</w:t>
      </w: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highlight w:val="none"/>
        </w:rPr>
        <w:t>现场带岗</w:t>
      </w:r>
      <w:r>
        <w:rPr>
          <w:rFonts w:hint="eastAsia" w:ascii="Times New Roman" w:hAnsi="Times New Roman" w:eastAsia="仿宋_GB2312" w:cs="Times New Roman"/>
          <w:color w:val="000000"/>
          <w:kern w:val="0"/>
          <w:sz w:val="28"/>
          <w:szCs w:val="28"/>
          <w:highlight w:val="none"/>
          <w:lang w:eastAsia="zh-CN"/>
        </w:rPr>
        <w:t>”</w:t>
      </w: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highlight w:val="none"/>
        </w:rPr>
        <w:t>的数据；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highlight w:val="none"/>
        </w:rPr>
        <w:t>3. 此表于</w:t>
      </w: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highlight w:val="none"/>
          <w:lang w:val="en-US" w:eastAsia="zh-CN"/>
        </w:rPr>
        <w:t>5月27日民营企业招聘月活动</w:t>
      </w: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highlight w:val="none"/>
        </w:rPr>
        <w:t>结束时报送至电子邮箱964123227@qq.com。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4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bookmarkStart w:id="0" w:name="_GoBack"/>
      <w:bookmarkEnd w:id="0"/>
    </w:p>
    <w:sectPr>
      <w:footerReference r:id="rId4" w:type="default"/>
      <w:pgSz w:w="16838" w:h="11906" w:orient="landscape"/>
      <w:pgMar w:top="1701" w:right="1701" w:bottom="1701" w:left="1701" w:header="851" w:footer="1417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spacing w:line="240" w:lineRule="auto"/>
      <w:jc w:val="right"/>
      <w:textAlignment w:val="auto"/>
      <w:rPr>
        <w:rFonts w:ascii="Times New Roman" w:hAnsi="Times New Roman" w:cs="Times New Roman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86360</wp:posOffset>
              </wp:positionV>
              <wp:extent cx="1828800" cy="1828800"/>
              <wp:effectExtent l="0" t="0" r="0" b="0"/>
              <wp:wrapNone/>
              <wp:docPr id="1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eastAsia="方正小标宋简体" w:cs="Times New Roman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方正小标宋简体" w:cs="Times New Roman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方正小标宋简体" w:cs="Times New Roman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方正小标宋简体" w:cs="Times New Roman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方正小标宋简体" w:cs="Times New Roman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6.8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1&#10;X3oz0wAAAAcBAAAPAAAAAAAAAAEAIAAAACIAAABkcnMvZG93bnJldi54bWxQSwECFAAUAAAACACH&#10;TuJAKfz9rrcBAABVAwAADgAAAAAAAAABACAAAAAiAQAAZHJzL2Uyb0RvYy54bWxQSwUGAAAAAAYA&#10;BgBZAQAASwU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eastAsia="方正小标宋简体" w:cs="Times New Roman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方正小标宋简体" w:cs="Times New Roman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方正小标宋简体" w:cs="Times New Roman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方正小标宋简体" w:cs="Times New Roman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eastAsia="方正小标宋简体" w:cs="Times New Roman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spacing w:line="240" w:lineRule="auto"/>
      <w:jc w:val="right"/>
      <w:textAlignment w:val="auto"/>
      <w:rPr>
        <w:rFonts w:ascii="Times New Roman" w:hAnsi="Times New Roman" w:cs="Times New Roman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3910330</wp:posOffset>
              </wp:positionH>
              <wp:positionV relativeFrom="paragraph">
                <wp:posOffset>75565</wp:posOffset>
              </wp:positionV>
              <wp:extent cx="1828800" cy="1828800"/>
              <wp:effectExtent l="0" t="0" r="0" b="0"/>
              <wp:wrapNone/>
              <wp:docPr id="1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eastAsia="方正小标宋简体" w:cs="Times New Roman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方正小标宋简体" w:cs="Times New Roman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方正小标宋简体" w:cs="Times New Roman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方正小标宋简体" w:cs="Times New Roman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方正小标宋简体" w:cs="Times New Roman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307.9pt;margin-top:5.95pt;height:144pt;width:144pt;mso-position-horizontal-relative:margin;mso-wrap-style:none;z-index:251663360;mso-width-relative:page;mso-height-relative:page;" filled="f" stroked="f" coordsize="21600,21600" o:gfxdata="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BE3iTTWAAAACgEAAA8AAAAAAAAAAQAgAAAAIgAAAGRycy9kb3ducmV2LnhtbFBLAQIUABQAAAAI&#10;AIdO4kDEY3fItgEAAFUDAAAOAAAAAAAAAAEAIAAAACUBAABkcnMvZTJvRG9jLnhtbFBLBQYAAAAA&#10;BgAGAFkBAABN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eastAsia="方正小标宋简体" w:cs="Times New Roman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方正小标宋简体" w:cs="Times New Roman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方正小标宋简体" w:cs="Times New Roman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方正小标宋简体" w:cs="Times New Roman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eastAsia="方正小标宋简体" w:cs="Times New Roman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1E0843"/>
    <w:rsid w:val="2E1E084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5">
    <w:name w:val="Table Grid"/>
    <w:basedOn w:val="4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2022-05-13T07:56:00Z</dcterms:created>
  <dc:creator>pc</dc:creator>
  <cp:lastModifiedBy>pc</cp:lastModifiedBy>
  <dcterms:modified xsi:type="dcterms:W3CDTF">2022-05-13T07:56:46Z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